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1C" w:rsidRPr="00DF021C" w:rsidRDefault="00DF021C" w:rsidP="00DF021C">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T.C.</w:t>
      </w:r>
      <w:bookmarkStart w:id="0" w:name="_GoBack"/>
      <w:bookmarkEnd w:id="0"/>
      <w:r w:rsidRPr="00DF021C">
        <w:rPr>
          <w:rFonts w:ascii="Verdana" w:eastAsia="Times New Roman" w:hAnsi="Verdana" w:cs="Times New Roman"/>
          <w:b/>
          <w:bCs/>
          <w:color w:val="000000"/>
          <w:sz w:val="15"/>
          <w:szCs w:val="15"/>
          <w:lang w:eastAsia="tr-TR"/>
        </w:rPr>
        <w:br/>
        <w:t>MALİYE BAKANLIĞI</w:t>
      </w:r>
      <w:r w:rsidRPr="00DF021C">
        <w:rPr>
          <w:rFonts w:ascii="Verdana" w:eastAsia="Times New Roman" w:hAnsi="Verdana" w:cs="Times New Roman"/>
          <w:b/>
          <w:bCs/>
          <w:color w:val="000000"/>
          <w:sz w:val="15"/>
          <w:szCs w:val="15"/>
          <w:lang w:eastAsia="tr-TR"/>
        </w:rPr>
        <w:br/>
        <w:t>Gelir İdaresi Başkanlığı</w:t>
      </w:r>
      <w:r w:rsidRPr="00DF021C">
        <w:rPr>
          <w:rFonts w:ascii="Verdana" w:eastAsia="Times New Roman" w:hAnsi="Verdana" w:cs="Times New Roman"/>
          <w:color w:val="000000"/>
          <w:sz w:val="15"/>
          <w:szCs w:val="15"/>
          <w:lang w:eastAsia="tr-TR"/>
        </w:rPr>
        <w:t> </w:t>
      </w:r>
    </w:p>
    <w:p w:rsidR="00DF021C" w:rsidRPr="00DF021C" w:rsidRDefault="00DF021C" w:rsidP="00DF021C">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KATMA DEĞER VERGİSİ SİRKÜLERİ/66</w:t>
      </w:r>
    </w:p>
    <w:tbl>
      <w:tblPr>
        <w:tblW w:w="8805" w:type="dxa"/>
        <w:tblCellSpacing w:w="0" w:type="dxa"/>
        <w:shd w:val="clear" w:color="auto" w:fill="FFFFFF"/>
        <w:tblCellMar>
          <w:left w:w="0" w:type="dxa"/>
          <w:right w:w="0" w:type="dxa"/>
        </w:tblCellMar>
        <w:tblLook w:val="04A0"/>
      </w:tblPr>
      <w:tblGrid>
        <w:gridCol w:w="2595"/>
        <w:gridCol w:w="6210"/>
      </w:tblGrid>
      <w:tr w:rsidR="00DF021C" w:rsidRPr="00DF021C" w:rsidTr="00DF021C">
        <w:trPr>
          <w:trHeight w:val="420"/>
          <w:tblCellSpacing w:w="0" w:type="dxa"/>
        </w:trPr>
        <w:tc>
          <w:tcPr>
            <w:tcW w:w="2595" w:type="dxa"/>
            <w:shd w:val="clear" w:color="auto" w:fill="FFFFFF"/>
            <w:vAlign w:val="center"/>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 Konusu</w:t>
            </w:r>
          </w:p>
        </w:tc>
        <w:tc>
          <w:tcPr>
            <w:tcW w:w="6210" w:type="dxa"/>
            <w:shd w:val="clear" w:color="auto" w:fill="FFFFFF"/>
            <w:vAlign w:val="center"/>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 </w:t>
            </w:r>
            <w:r w:rsidRPr="00DF021C">
              <w:rPr>
                <w:rFonts w:ascii="Verdana" w:eastAsia="Times New Roman" w:hAnsi="Verdana" w:cs="Times New Roman"/>
                <w:sz w:val="15"/>
                <w:szCs w:val="15"/>
                <w:lang w:eastAsia="tr-TR"/>
              </w:rPr>
              <w:t>Katma Değer Vergisi Genel Uygulama Tebliği</w:t>
            </w:r>
          </w:p>
        </w:tc>
      </w:tr>
      <w:tr w:rsidR="00DF021C" w:rsidRPr="00DF021C" w:rsidTr="00DF021C">
        <w:trPr>
          <w:trHeight w:val="420"/>
          <w:tblCellSpacing w:w="0" w:type="dxa"/>
        </w:trPr>
        <w:tc>
          <w:tcPr>
            <w:tcW w:w="2595" w:type="dxa"/>
            <w:shd w:val="clear" w:color="auto" w:fill="FFFFFF"/>
            <w:vAlign w:val="center"/>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 Tarihi</w:t>
            </w:r>
          </w:p>
        </w:tc>
        <w:tc>
          <w:tcPr>
            <w:tcW w:w="6210" w:type="dxa"/>
            <w:shd w:val="clear" w:color="auto" w:fill="FFFFFF"/>
            <w:vAlign w:val="center"/>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w:t>
            </w:r>
            <w:r w:rsidRPr="00DF021C">
              <w:rPr>
                <w:rFonts w:ascii="Verdana" w:eastAsia="Times New Roman" w:hAnsi="Verdana" w:cs="Times New Roman"/>
                <w:sz w:val="15"/>
                <w:szCs w:val="15"/>
                <w:lang w:eastAsia="tr-TR"/>
              </w:rPr>
              <w:t> 10/06/2014</w:t>
            </w:r>
          </w:p>
        </w:tc>
      </w:tr>
      <w:tr w:rsidR="00DF021C" w:rsidRPr="00DF021C" w:rsidTr="00DF021C">
        <w:trPr>
          <w:trHeight w:val="420"/>
          <w:tblCellSpacing w:w="0" w:type="dxa"/>
        </w:trPr>
        <w:tc>
          <w:tcPr>
            <w:tcW w:w="2595" w:type="dxa"/>
            <w:shd w:val="clear" w:color="auto" w:fill="FFFFFF"/>
            <w:vAlign w:val="center"/>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 Sayısı</w:t>
            </w:r>
          </w:p>
        </w:tc>
        <w:tc>
          <w:tcPr>
            <w:tcW w:w="6210" w:type="dxa"/>
            <w:shd w:val="clear" w:color="auto" w:fill="FFFFFF"/>
            <w:vAlign w:val="center"/>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 </w:t>
            </w:r>
            <w:r w:rsidRPr="00DF021C">
              <w:rPr>
                <w:rFonts w:ascii="Verdana" w:eastAsia="Times New Roman" w:hAnsi="Verdana" w:cs="Times New Roman"/>
                <w:sz w:val="15"/>
                <w:szCs w:val="15"/>
                <w:lang w:eastAsia="tr-TR"/>
              </w:rPr>
              <w:t>KDV-66 /2014-1</w:t>
            </w:r>
          </w:p>
        </w:tc>
      </w:tr>
    </w:tbl>
    <w:p w:rsidR="00DF021C" w:rsidRPr="00DF021C" w:rsidRDefault="00DF021C" w:rsidP="00DF021C">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br/>
      </w:r>
      <w:r w:rsidRPr="00DF021C">
        <w:rPr>
          <w:rFonts w:ascii="Verdana" w:eastAsia="Times New Roman" w:hAnsi="Verdana" w:cs="Times New Roman"/>
          <w:b/>
          <w:bCs/>
          <w:color w:val="000000"/>
          <w:sz w:val="15"/>
          <w:szCs w:val="15"/>
          <w:lang w:eastAsia="tr-TR"/>
        </w:rPr>
        <w:t>1. Giriş</w:t>
      </w:r>
    </w:p>
    <w:p w:rsidR="00DF021C" w:rsidRPr="00DF021C" w:rsidRDefault="009A1977"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hyperlink r:id="rId4" w:history="1">
        <w:r w:rsidR="00DF021C" w:rsidRPr="00DF021C">
          <w:rPr>
            <w:rFonts w:ascii="Verdana" w:eastAsia="Times New Roman" w:hAnsi="Verdana" w:cs="Times New Roman"/>
            <w:color w:val="000080"/>
            <w:sz w:val="20"/>
            <w:szCs w:val="20"/>
            <w:u w:val="single"/>
            <w:lang w:eastAsia="tr-TR"/>
          </w:rPr>
          <w:t>Katma Değer Vergisi Genel Uygulama Tebliği</w:t>
        </w:r>
      </w:hyperlink>
      <w:r w:rsidR="00DF021C" w:rsidRPr="00DF021C">
        <w:rPr>
          <w:rFonts w:ascii="Verdana" w:eastAsia="Times New Roman" w:hAnsi="Verdana" w:cs="Times New Roman"/>
          <w:color w:val="000000"/>
          <w:sz w:val="15"/>
          <w:szCs w:val="15"/>
          <w:lang w:eastAsia="tr-TR"/>
        </w:rPr>
        <w:t> 26/04/2014 tarihli ve 28983 sayılı Resmi Gazete'de yayımlanmak suretiyle 1 Mayıs 2014 tarihinden itibaren yürürlüğe girmiş bulunmaktadır.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Katma Değer Vergisi Genel Uygulama Tebliğinin geçiş dönemi uygulamasına ilişkin tereddüt edilen hususlara ilişkin açıklamalar, bu Sirkülerin konusunu oluşturmaktadır.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2. Tebliğin Yürürlüğüne İlişkin Açıklama</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2.1. Genel Açıklama</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Katma Değer Vergisi Genel Uygulama Tebliği, 1 Mayıs 2014 tarihinden itibaren yürürlüğe girmiş olup, bu tarihten sonraki işlemlere Tebliğde belirtilen usul ve esaslar uygulanır. Tebliğin yürürlük tarihinden önceki işlemlere ise mülga Tebliğlerde yer alan düzenlemelerin uygulanacağı açıktır.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2.2. İade Uygulaması</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Tebliğin yürürlük tarihinden sonraki vergilendirme dönemlerine ilişkin iade talepleri, standart iade talep dilekçesi kullanılmak suretiyle ve Katma Değer Vergisi Genel Uygulama Tebliğindeki usul ve esaslara göre sonuçlandırılır. Tebliğin yürürlük tarihinden önceki vergilendirme dönemlerine ilişkin iade talepleri ise, standart iade talep dilekçesi Tebliğin yürürlük tarihinden sonra verilse dahi mülga Tebliğlerdeki usul ve esaslara göre sonuçlandırılır.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2.3. Proje Uygulaması Getirilen İşler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Tebliğ ile proje uygulaması getirilen istisnalarda (KDV Kanununun 13/a, 13/c, 13/e ve Geçici 29 maddelerinde düzenlenen istisnalar), söz konusuistisnalardan yararlanılabilmesi için alınması gereken istisna belgesinden önce, istisna konusu mal veya hizmetlere ilişkin "Mal Teslimleri ve Hizmet İfalarına İlişkin Liste"nin istisna belgesi talebinde bulunanlar tarafından elektronik ortamda Gelir İdaresi Başkanlığına gönderilmesi gerekmektedir. Ancak, proje uygulaması getirilen işlere ilişkin olarak, Tebliğin yürürlüğünden önce istisna belgesi alınmış olması halinde, "Mal Teslimleri ve Hizmet İfalarına İlişkin Liste"nin Gelir İdaresi Başkanlığına elektronik ortamda gönderilmesine gerek yoktur. Ayrıca, proje uygulaması getirilen ve Tebliğin yürürlüğünden önce başlanılmış ve halen devam eden işlemlerde, söz konusu proje uygulaması sona erene kadar Tebliğin yürürlük tarihinden sonra yapılan teslim ve hizmetlere ilişkin iade taleplerinde de Tebliğin yürürlüğünden önceki usul ve esaslar çerçevesinde işlem yapılır.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Proje uygulaması getirilen işlere ilişkin Tebliğin yürürlüğünden sonra istisna belgesi talebinde bulunulması halinde, "Mal Teslimleri ve Hizmet İfalarına İlişkin Liste"nin elektronik ortamda Başkanlığımıza gönderilmesini takiben istisna belgesi verilir. Ancak, Başkanlığımızda mal ve hizmet listelerinin alınmasına yönelik sistemsel altyapı oluşturulması çalışmaları tamamlanana kadar listelerin elektronik ortamda sisteme girilmesi beklenilmeden istisna belgesi verilir. Sistem altyapı çalışması tamamlanınca, mal ve hizmet listeleri ile birlikte istisna kapsamındaki alımlara ilişkin bilgiler de alıcı tarafından sisteme girilir.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lastRenderedPageBreak/>
        <w:t>Proje uygulaması getirilen istisnalarda, Tebliğin yürürlüğünden önce istisna belgesi almak üzere İdareye başvuranların talepleri de Tebliğin yürürlüğünden önceki usul ve esaslara göre değerlendirilir.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2.4. İndirimli Teminat Uygulaması</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Katma Değer Vergisi Genel Uygulama Tebliğinin yürürlüğünden itibaren İTUS (İndirimli Teminat Uygulama Sistemi) sertifikası alan mükellefler, iade hakkı doğuran bütün işlemleri için </w:t>
      </w:r>
      <w:r w:rsidRPr="00DF021C">
        <w:rPr>
          <w:rFonts w:ascii="Verdana" w:eastAsia="Times New Roman" w:hAnsi="Verdana" w:cs="Times New Roman"/>
          <w:b/>
          <w:bCs/>
          <w:color w:val="000000"/>
          <w:sz w:val="15"/>
          <w:szCs w:val="15"/>
          <w:lang w:eastAsia="tr-TR"/>
        </w:rPr>
        <w:t>(tam istisna kapsamındaki teslim ve hizmetler, indirimli oran, tevkifat) </w:t>
      </w:r>
      <w:r w:rsidRPr="00DF021C">
        <w:rPr>
          <w:rFonts w:ascii="Verdana" w:eastAsia="Times New Roman" w:hAnsi="Verdana" w:cs="Times New Roman"/>
          <w:color w:val="000000"/>
          <w:sz w:val="15"/>
          <w:szCs w:val="15"/>
          <w:lang w:eastAsia="tr-TR"/>
        </w:rPr>
        <w:t>indirimli teminat uygulamasından faydalanabilir.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Tebliğin (IV/B.1.2.1.1.) bölümünde ihraç kayıtlı teslimde bulunan imalatçılar için aranacağı belirtilen "İlgili sicile kayıtlı olma" şartı, sanayi siciline kayıtlı ve sanayi sicil belgesini haiz olmayı veya Gıda Tarım ve Hayvancılık Bakanlığından alınmış çiftçi kayıt belgesi, gıda işletmesi kayıt belgesi ve işletme onay belgelerinden (üretici belgesi) herhangi birine sahip olmayı ifade etmektedir.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Tebliğin yürürlüğünden önce indirimli teminat uygulaması kapsamında olan mükelleflerin İTUS sertifikası almak için bağlı olduğu vergi dairesi başkanlığına/defterdarlığa yeniden başvurması gerekmektedir. Tebliğde belirlenen şartları taşıyanlara vergi dairesi başkanlığı/defterdarlık tarafından İTUS sertifikası verilir.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Katma Değer Vergisi Genel Uygulama Tebliğinde, son olumlu rapor vergi dairesine intikal ettikten sonra (diğer şartlar da gerçekleşmişse) raporun ilgili olduğu vergilendirme döneminden sonraki dönemlere ilişkin iade talepleri için indirimli teminat uygulamasına başlanacağı ve raporun ait olduğu vergilendirme döneminden sonraki dönemler için verilen teminatların, indirimli teminat tutarını aşan kısmının iade edileceği belirtilmiştir. Bu itibarla, İTUS sertifikası almaya hak kazanan mükelleflerin son raporun ait olduğu dönem ile sertifika tarihi arasındaki iade taleplerinde de indirimli teminat uygulanacağı açıktır.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İndirimli orana tabi işlemleri bulunan mükelleflerin İTUS sertifikası başvurularının değerlendirilmesinde beş vergilendirme döneminin hesabında, bu mükelleflerin yılı içerisinde mahsuben iade talep edilen dönemlere ilişkin vergi inceleme raporları veya YMM raporları da dikkate alınır. Ayrıca, indirimli orana tabi işlemlerden doğan yıllık iade taleplerine ilişkin düzenlenen olumlu raporlar, kapsadığı her bir vergilendirme dönemi için olumlu rapor olarak değerlendirilir.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b/>
          <w:bCs/>
          <w:color w:val="000000"/>
          <w:sz w:val="15"/>
          <w:szCs w:val="15"/>
          <w:lang w:eastAsia="tr-TR"/>
        </w:rPr>
        <w:t>3. ATİK (Amortismana Tabi İktisadi Kıymet) Satışları</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Mükelleflerin amortismana tabi iktisadi kıymet satışları 1 no.lu KDV beyannamesinin "Matrah" kulakçığının "Diğer İşlemler" tablosunda "503" kodlu "Amortismana tabi sabit kıymet (taşınmaz, taşıt araçları, demirbaş, makine ve teçhizat vb.) satışları" satırında beyan edilecektir.</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DF021C" w:rsidRPr="00DF021C" w:rsidRDefault="00DF021C" w:rsidP="00DF021C">
      <w:pPr>
        <w:shd w:val="clear" w:color="auto" w:fill="FFFFFF"/>
        <w:spacing w:after="0" w:line="276" w:lineRule="atLeast"/>
        <w:jc w:val="both"/>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Bu satışlar nedeniyle hesaplanan KDV'nin 1 no.lu KDV beyannamesinin "Matrah" kulakçığındaki "İlave edilecek KDV" satırına yazılmak suretiyle beyanı mümkün değildir.</w:t>
      </w:r>
    </w:p>
    <w:p w:rsidR="00DF021C" w:rsidRPr="00DF021C" w:rsidRDefault="00DF021C" w:rsidP="00DF021C">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DF021C">
        <w:rPr>
          <w:rFonts w:ascii="Verdana" w:eastAsia="Times New Roman" w:hAnsi="Verdana" w:cs="Times New Roman"/>
          <w:color w:val="000000"/>
          <w:sz w:val="15"/>
          <w:szCs w:val="15"/>
          <w:lang w:eastAsia="tr-TR"/>
        </w:rPr>
        <w:t>Duyurulur.</w:t>
      </w:r>
    </w:p>
    <w:tbl>
      <w:tblPr>
        <w:tblW w:w="0" w:type="auto"/>
        <w:tblCellSpacing w:w="0" w:type="dxa"/>
        <w:shd w:val="clear" w:color="auto" w:fill="FFFFFF"/>
        <w:tblCellMar>
          <w:left w:w="0" w:type="dxa"/>
          <w:right w:w="0" w:type="dxa"/>
        </w:tblCellMar>
        <w:tblLook w:val="04A0"/>
      </w:tblPr>
      <w:tblGrid>
        <w:gridCol w:w="6789"/>
        <w:gridCol w:w="2283"/>
      </w:tblGrid>
      <w:tr w:rsidR="00DF021C" w:rsidRPr="00DF021C" w:rsidTr="00DF021C">
        <w:trPr>
          <w:tblCellSpacing w:w="0" w:type="dxa"/>
        </w:trPr>
        <w:tc>
          <w:tcPr>
            <w:tcW w:w="10110" w:type="dxa"/>
            <w:shd w:val="clear" w:color="auto" w:fill="FFFFFF"/>
            <w:hideMark/>
          </w:tcPr>
          <w:p w:rsidR="00DF021C" w:rsidRPr="00DF021C" w:rsidRDefault="00DF021C" w:rsidP="00DF021C">
            <w:pPr>
              <w:spacing w:before="100" w:beforeAutospacing="1" w:after="100" w:afterAutospacing="1" w:line="240" w:lineRule="auto"/>
              <w:rPr>
                <w:rFonts w:ascii="Times New Roman" w:eastAsia="Times New Roman" w:hAnsi="Times New Roman" w:cs="Times New Roman"/>
                <w:sz w:val="24"/>
                <w:szCs w:val="24"/>
                <w:lang w:eastAsia="tr-TR"/>
              </w:rPr>
            </w:pPr>
            <w:r w:rsidRPr="00DF021C">
              <w:rPr>
                <w:rFonts w:ascii="Verdana" w:eastAsia="Times New Roman" w:hAnsi="Verdana" w:cs="Times New Roman"/>
                <w:sz w:val="15"/>
                <w:szCs w:val="15"/>
                <w:lang w:eastAsia="tr-TR"/>
              </w:rPr>
              <w:t> </w:t>
            </w:r>
          </w:p>
        </w:tc>
        <w:tc>
          <w:tcPr>
            <w:tcW w:w="3075" w:type="dxa"/>
            <w:shd w:val="clear" w:color="auto" w:fill="FFFFFF"/>
            <w:hideMark/>
          </w:tcPr>
          <w:p w:rsidR="00DF021C" w:rsidRPr="00DF021C" w:rsidRDefault="00DF021C" w:rsidP="00DF02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Adnan ERTÜRK</w:t>
            </w:r>
          </w:p>
          <w:p w:rsidR="00DF021C" w:rsidRPr="00DF021C" w:rsidRDefault="00DF021C" w:rsidP="00DF02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021C">
              <w:rPr>
                <w:rFonts w:ascii="Verdana" w:eastAsia="Times New Roman" w:hAnsi="Verdana" w:cs="Times New Roman"/>
                <w:b/>
                <w:bCs/>
                <w:sz w:val="15"/>
                <w:szCs w:val="15"/>
                <w:lang w:eastAsia="tr-TR"/>
              </w:rPr>
              <w:t>Gelir İdaresi Başkanı</w:t>
            </w:r>
          </w:p>
        </w:tc>
      </w:tr>
    </w:tbl>
    <w:p w:rsidR="00DF021C" w:rsidRPr="00DF021C" w:rsidRDefault="00DF021C" w:rsidP="00DF021C">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DF021C">
        <w:rPr>
          <w:rFonts w:ascii="Times New Roman" w:eastAsia="Times New Roman" w:hAnsi="Times New Roman" w:cs="Times New Roman"/>
          <w:color w:val="000000"/>
          <w:sz w:val="27"/>
          <w:szCs w:val="27"/>
          <w:lang w:eastAsia="tr-TR"/>
        </w:rPr>
        <w:t> </w:t>
      </w:r>
    </w:p>
    <w:p w:rsidR="00FD7DB3" w:rsidRDefault="00FD7DB3"/>
    <w:sectPr w:rsidR="00FD7DB3" w:rsidSect="00DF021C">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1997"/>
    <w:rsid w:val="00921997"/>
    <w:rsid w:val="009A1977"/>
    <w:rsid w:val="00A30E2F"/>
    <w:rsid w:val="00DF021C"/>
    <w:rsid w:val="00FD7D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0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021C"/>
    <w:rPr>
      <w:b/>
      <w:bCs/>
    </w:rPr>
  </w:style>
  <w:style w:type="character" w:styleId="Kpr">
    <w:name w:val="Hyperlink"/>
    <w:basedOn w:val="VarsaylanParagrafYazTipi"/>
    <w:uiPriority w:val="99"/>
    <w:semiHidden/>
    <w:unhideWhenUsed/>
    <w:rsid w:val="00DF021C"/>
    <w:rPr>
      <w:color w:val="0000FF"/>
      <w:u w:val="single"/>
    </w:rPr>
  </w:style>
  <w:style w:type="character" w:customStyle="1" w:styleId="apple-converted-space">
    <w:name w:val="apple-converted-space"/>
    <w:basedOn w:val="VarsaylanParagrafYazTipi"/>
    <w:rsid w:val="00DF0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0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021C"/>
    <w:rPr>
      <w:b/>
      <w:bCs/>
    </w:rPr>
  </w:style>
  <w:style w:type="character" w:styleId="Kpr">
    <w:name w:val="Hyperlink"/>
    <w:basedOn w:val="VarsaylanParagrafYazTipi"/>
    <w:uiPriority w:val="99"/>
    <w:semiHidden/>
    <w:unhideWhenUsed/>
    <w:rsid w:val="00DF021C"/>
    <w:rPr>
      <w:color w:val="0000FF"/>
      <w:u w:val="single"/>
    </w:rPr>
  </w:style>
  <w:style w:type="character" w:customStyle="1" w:styleId="apple-converted-space">
    <w:name w:val="apple-converted-space"/>
    <w:basedOn w:val="VarsaylanParagrafYazTipi"/>
    <w:rsid w:val="00DF021C"/>
  </w:style>
</w:styles>
</file>

<file path=word/webSettings.xml><?xml version="1.0" encoding="utf-8"?>
<w:webSettings xmlns:r="http://schemas.openxmlformats.org/officeDocument/2006/relationships" xmlns:w="http://schemas.openxmlformats.org/wordprocessingml/2006/main">
  <w:divs>
    <w:div w:id="19455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014/katma-deger-vergisi-genel-uygulama-tebligi.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DESEN/</dc:creator>
  <cp:lastModifiedBy>Gül</cp:lastModifiedBy>
  <cp:revision>2</cp:revision>
  <dcterms:created xsi:type="dcterms:W3CDTF">2014-06-10T10:17:00Z</dcterms:created>
  <dcterms:modified xsi:type="dcterms:W3CDTF">2014-06-10T10:17:00Z</dcterms:modified>
</cp:coreProperties>
</file>